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B4" w:rsidRPr="00E047B4" w:rsidRDefault="00E047B4" w:rsidP="00E047B4">
      <w:pPr>
        <w:shd w:val="clear" w:color="auto" w:fill="FFFFFF"/>
        <w:jc w:val="center"/>
        <w:rPr>
          <w:rFonts w:ascii="Helvetica Neue" w:eastAsia="Times New Roman" w:hAnsi="Helvetica Neue" w:cs="Times New Roman"/>
          <w:color w:val="1D1D1D"/>
          <w:sz w:val="20"/>
          <w:szCs w:val="20"/>
        </w:rPr>
      </w:pPr>
      <w:r w:rsidRPr="00E047B4">
        <w:rPr>
          <w:rFonts w:ascii="Arial" w:eastAsia="Times New Roman" w:hAnsi="Arial" w:cs="Times New Roman"/>
        </w:rPr>
        <w:fldChar w:fldCharType="begin"/>
      </w:r>
      <w:r w:rsidRPr="00E047B4">
        <w:rPr>
          <w:rFonts w:ascii="Arial" w:eastAsia="Times New Roman" w:hAnsi="Arial" w:cs="Times New Roman"/>
        </w:rPr>
        <w:instrText xml:space="preserve"> INCLUDEPICTURE "https://ecp.yusercontent.com/mail?url=https%3A%2F%2Fsjwl3.mjt.lu%2Fimg2%2Fsjwl3%2Fce68f032-d8b0-4f9a-b813-67ef60c54511%2Fcontent&amp;t=1753866487&amp;ymreqid=20442a49-1392-8145-1c8b-3f0002014400&amp;sig=DlzJTeKJXpIk_5hV_K4Mig--~D" \* MERGEFORMATINET </w:instrText>
      </w:r>
      <w:r w:rsidRPr="00E047B4">
        <w:rPr>
          <w:rFonts w:ascii="Arial" w:eastAsia="Times New Roman" w:hAnsi="Arial" w:cs="Times New Roman"/>
        </w:rPr>
        <w:fldChar w:fldCharType="separate"/>
      </w:r>
      <w:r w:rsidRPr="00E047B4">
        <w:rPr>
          <w:rFonts w:ascii="Arial" w:eastAsia="Times New Roman" w:hAnsi="Arial" w:cs="Times New Roman"/>
          <w:noProof/>
        </w:rPr>
        <w:drawing>
          <wp:inline distT="0" distB="0" distL="0" distR="0" wp14:anchorId="3173C9D1" wp14:editId="42121C16">
            <wp:extent cx="1267460" cy="624840"/>
            <wp:effectExtent l="0" t="0" r="2540" b="0"/>
            <wp:docPr id="5" name="Picture 5" descr="https://ecp.yusercontent.com/mail?url=https%3A%2F%2Fsjwl3.mjt.lu%2Fimg2%2Fsjwl3%2Fce68f032-d8b0-4f9a-b813-67ef60c54511%2Fcontent&amp;t=1753866487&amp;ymreqid=20442a49-1392-8145-1c8b-3f0002014400&amp;sig=DlzJTeKJXpIk_5hV_K4Mig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6203404937_x0000_i1030" descr="https://ecp.yusercontent.com/mail?url=https%3A%2F%2Fsjwl3.mjt.lu%2Fimg2%2Fsjwl3%2Fce68f032-d8b0-4f9a-b813-67ef60c54511%2Fcontent&amp;t=1753866487&amp;ymreqid=20442a49-1392-8145-1c8b-3f0002014400&amp;sig=DlzJTeKJXpIk_5hV_K4Mig--~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B4">
        <w:rPr>
          <w:rFonts w:ascii="Arial" w:eastAsia="Times New Roman" w:hAnsi="Arial" w:cs="Times New Roman"/>
        </w:rPr>
        <w:fldChar w:fldCharType="end"/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047B4" w:rsidRPr="00E047B4" w:rsidTr="00E047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47B4" w:rsidRPr="00E047B4" w:rsidTr="00E047B4">
              <w:trPr>
                <w:trHeight w:val="2684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47B4" w:rsidRPr="00E047B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Default="00E047B4" w:rsidP="00E047B4">
                              <w:pPr>
                                <w:spacing w:before="150" w:after="100" w:afterAutospacing="1"/>
                                <w:jc w:val="center"/>
                                <w:outlineLvl w:val="2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67C26"/>
                                  <w:sz w:val="30"/>
                                  <w:szCs w:val="30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67C26"/>
                                  <w:sz w:val="30"/>
                                  <w:szCs w:val="30"/>
                                </w:rPr>
                                <w:t>Formations JAE 1 2026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50" w:after="100" w:afterAutospacing="1"/>
                                <w:outlineLvl w:val="2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  <w:u w:val="single"/>
                                </w:rPr>
                                <w:t>Destinataires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> 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>Présidents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 xml:space="preserve"> ;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>Enseignants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>Professionnels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i/>
                                  <w:iCs/>
                                  <w:color w:val="55575D"/>
                                  <w:sz w:val="17"/>
                                  <w:szCs w:val="17"/>
                                </w:rPr>
                                <w:t xml:space="preserve"> ; Clubs</w:t>
                              </w:r>
                            </w:p>
                          </w:tc>
                        </w:tr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</w:p>
                          </w:tc>
                        </w:tr>
                        <w:tr w:rsidR="00E047B4" w:rsidRPr="00E047B4" w:rsidTr="00E047B4">
                          <w:trPr>
                            <w:trHeight w:val="27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2"/>
                              </w:tblGrid>
                              <w:tr w:rsidR="00E047B4" w:rsidRPr="00E047B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67C26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E047B4" w:rsidRPr="00E047B4" w:rsidRDefault="00E047B4" w:rsidP="00E047B4">
                                    <w:pPr>
                                      <w:jc w:val="center"/>
                                      <w:rPr>
                                        <w:rFonts w:ascii="Arial" w:eastAsia="Times New Roman" w:hAnsi="Arial" w:cs="Times New Roman"/>
                                      </w:rPr>
                                    </w:pPr>
                                    <w:hyperlink r:id="rId5" w:tgtFrame="_blank" w:history="1">
                                      <w:r w:rsidRPr="00E047B4">
                                        <w:rPr>
                                          <w:rFonts w:ascii="Arial" w:eastAsia="Times New Roman" w:hAnsi="Arial" w:cs="Times New Roman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F67C26"/>
                                        </w:rPr>
                                        <w:t>Inscription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047B4" w:rsidRPr="00E047B4" w:rsidRDefault="00E047B4" w:rsidP="00E047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E047B4" w:rsidRPr="00E047B4" w:rsidRDefault="00E047B4" w:rsidP="00E047B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E047B4" w:rsidRPr="00E047B4" w:rsidRDefault="00E047B4" w:rsidP="00E047B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047B4" w:rsidRDefault="00E047B4" w:rsidP="00E047B4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Les clubs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doivent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disposer de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suffisamment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de JAE1 pour les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championnats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interclubs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et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notamment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ceux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des Seniors Plus de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l'automne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et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ceux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du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printemps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. Pour rappel un JAE1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peut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officier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dans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une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rencontre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dans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laquelle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il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est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joueur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mais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il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ne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peut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pas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être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capitaine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d'une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équipe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de </w:t>
            </w:r>
            <w:proofErr w:type="spellStart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>cette</w:t>
            </w:r>
            <w:proofErr w:type="spellEnd"/>
            <w:r w:rsidRPr="00E047B4">
              <w:rPr>
                <w:rFonts w:ascii="Arial" w:eastAsia="Times New Roman" w:hAnsi="Arial" w:cs="Times New Roman"/>
                <w:color w:val="495A65"/>
                <w:sz w:val="21"/>
                <w:szCs w:val="21"/>
              </w:rPr>
              <w:t xml:space="preserve"> rencontre.</w:t>
            </w:r>
          </w:p>
          <w:p w:rsidR="00E047B4" w:rsidRPr="00E047B4" w:rsidRDefault="00E047B4" w:rsidP="00E04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47B4" w:rsidRPr="00E047B4" w:rsidRDefault="00E047B4" w:rsidP="00E047B4">
      <w:pPr>
        <w:spacing w:before="195" w:after="150"/>
        <w:rPr>
          <w:rFonts w:ascii="Arial" w:eastAsia="Times New Roman" w:hAnsi="Arial" w:cs="Times New Roman"/>
        </w:rPr>
      </w:pPr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Par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conséquent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,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vous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trouverez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ci-dessous les dates des formations JAE 1 (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juge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-arbitrage de rencontres par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équipe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) pour la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saison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2025-2026,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accompagnées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du lien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d'inscription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:rsidR="00E047B4" w:rsidRPr="00E047B4" w:rsidRDefault="00E047B4" w:rsidP="00E047B4">
      <w:pPr>
        <w:shd w:val="clear" w:color="auto" w:fill="FFFFFF"/>
        <w:rPr>
          <w:rFonts w:ascii="Arial" w:eastAsia="Times New Roman" w:hAnsi="Arial" w:cs="Times New Roman"/>
          <w:color w:val="1D1D1D"/>
        </w:rPr>
      </w:pPr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Nous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vous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proposons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3 sites et 3 dates pour la formation et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l’examen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qui se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tiendront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au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choix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en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septembre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ou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proofErr w:type="spellStart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>octobre</w:t>
      </w:r>
      <w:proofErr w:type="spellEnd"/>
      <w:r w:rsidRPr="00E047B4">
        <w:rPr>
          <w:rFonts w:ascii="Arial" w:eastAsia="Times New Roman" w:hAnsi="Arial" w:cs="Times New Roman"/>
          <w:color w:val="000000"/>
          <w:sz w:val="20"/>
          <w:szCs w:val="20"/>
        </w:rPr>
        <w:t xml:space="preserve"> 2025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047B4" w:rsidRPr="00E047B4" w:rsidTr="00E047B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47B4" w:rsidRPr="00E047B4" w:rsidTr="00E047B4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47B4" w:rsidRPr="00E047B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hyperlink r:id="rId6" w:tgtFrame="_blank" w:history="1"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Secteur</w:t>
                                </w:r>
                                <w:proofErr w:type="spellEnd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Annécien</w:t>
                                </w:r>
                                <w:proofErr w:type="spellEnd"/>
                              </w:hyperlink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 le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mardi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23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septembre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(formation) et le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mercredi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24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septembre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examen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spellStart"/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Horaires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de 18h30 à 21h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Lieu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à confirmer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Tarif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25€ /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personne</w:t>
                              </w:r>
                              <w:proofErr w:type="spellEnd"/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hyperlink r:id="rId7" w:tgtFrame="_blank" w:history="1"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Secteur</w:t>
                                </w:r>
                                <w:proofErr w:type="spellEnd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Salève</w:t>
                                </w:r>
                                <w:proofErr w:type="spellEnd"/>
                              </w:hyperlink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 le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mardi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7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octobre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(formation) et le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mercredi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8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octobre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examen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spellStart"/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Horaires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de 18h30 à 21h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Lieu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à confirmer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Tarif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25€/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personne</w:t>
                              </w:r>
                              <w:proofErr w:type="spellEnd"/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hyperlink r:id="rId8" w:tgtFrame="_blank" w:history="1"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Secteur</w:t>
                                </w:r>
                                <w:proofErr w:type="spellEnd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>Salève</w:t>
                                </w:r>
                                <w:proofErr w:type="spellEnd"/>
                                <w:r w:rsidRPr="00E047B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color w:val="F67C26"/>
                                    <w:sz w:val="20"/>
                                    <w:szCs w:val="20"/>
                                    <w:u w:val="single"/>
                                  </w:rPr>
                                  <w:t xml:space="preserve"> et Chablais</w:t>
                                </w:r>
                                <w:r w:rsidRPr="00E047B4">
                                  <w:rPr>
                                    <w:rFonts w:ascii="Arial" w:eastAsia="Times New Roman" w:hAnsi="Arial" w:cs="Times New Roman"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 l</w:t>
                                </w:r>
                              </w:hyperlink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samedi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11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octobre</w:t>
                              </w:r>
                              <w:proofErr w:type="spellEnd"/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spellStart"/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Horaires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de 9h30 à 16h30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Lieu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Comité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Départemental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de Tennis (101 rue de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l’Egalité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– 74800 La Roche Sur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Foron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Tarif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40€/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personne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(documentations et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déjeuner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inclus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E047B4" w:rsidRPr="00E047B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67C26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E047B4" w:rsidRPr="00E047B4" w:rsidRDefault="00E047B4" w:rsidP="00E047B4">
                                    <w:pPr>
                                      <w:jc w:val="center"/>
                                      <w:rPr>
                                        <w:rFonts w:ascii="Arial" w:eastAsia="Times New Roman" w:hAnsi="Arial" w:cs="Times New Roman"/>
                                      </w:rPr>
                                    </w:pPr>
                                    <w:hyperlink r:id="rId9" w:tgtFrame="_blank" w:history="1">
                                      <w:r w:rsidRPr="00E047B4">
                                        <w:rPr>
                                          <w:rFonts w:ascii="Arial" w:eastAsia="Times New Roman" w:hAnsi="Arial" w:cs="Times New Roman"/>
                                          <w:color w:val="FFFFFF"/>
                                          <w:sz w:val="20"/>
                                          <w:szCs w:val="20"/>
                                          <w:u w:val="single"/>
                                          <w:shd w:val="clear" w:color="auto" w:fill="F67C26"/>
                                        </w:rPr>
                                        <w:t>Inscription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047B4" w:rsidRPr="00E047B4" w:rsidRDefault="00E047B4" w:rsidP="00E047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Règlement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par virement (</w:t>
                              </w: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IBAN 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FR76 3000 4026 7100 0100 2937 176 - BIC : BNPAFRPPXXX) 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par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chèque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Chaque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formation sera 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limitée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à 10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personnes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F67C26"/>
                                  <w:sz w:val="20"/>
                                  <w:szCs w:val="20"/>
                                </w:rPr>
                                <w:t>IMPERATIF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les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candidats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doivent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avoir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leur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pièce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d’identité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leur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attestation de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licence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2026 le jour de la formation.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gram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F67C26"/>
                                  <w:sz w:val="20"/>
                                  <w:szCs w:val="20"/>
                                </w:rPr>
                                <w:t>IMPORTANT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:</w:t>
                              </w:r>
                              <w:proofErr w:type="gram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la commission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d'arbitrage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établit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un planning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annuel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sur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toutes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les formations de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juges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arbitres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et ne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pourra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pas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forcément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répondre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à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d'autres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sollicitations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sur les JAE1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dans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saison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Merci aux clubs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d'anticiper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dès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maintenant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sur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leurs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futurs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besoins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fonction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des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équipes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qu'ils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souhaitent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engager."  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La Commission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Départementale</w:t>
                              </w:r>
                              <w:proofErr w:type="spellEnd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d'Arbitrage</w:t>
                              </w:r>
                              <w:proofErr w:type="spellEnd"/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047B4" w:rsidRPr="00E047B4" w:rsidRDefault="00E047B4" w:rsidP="00E047B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E047B4" w:rsidRPr="00E047B4" w:rsidRDefault="00E047B4" w:rsidP="00E047B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047B4" w:rsidRPr="00E047B4" w:rsidRDefault="00E047B4" w:rsidP="00E04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47B4" w:rsidRPr="00E047B4" w:rsidRDefault="00E047B4" w:rsidP="00E047B4">
      <w:pPr>
        <w:shd w:val="clear" w:color="auto" w:fill="FFFFFF"/>
        <w:rPr>
          <w:rFonts w:ascii="Arial" w:eastAsia="Times New Roman" w:hAnsi="Arial" w:cs="Times New Roman"/>
          <w:color w:val="1D1D1D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047B4" w:rsidRPr="00E047B4" w:rsidTr="00E047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47B4" w:rsidRPr="00E047B4" w:rsidTr="00E047B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47B4" w:rsidRPr="00E047B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047B4" w:rsidRPr="00E047B4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39"/>
                                <w:gridCol w:w="816"/>
                              </w:tblGrid>
                              <w:tr w:rsidR="00E047B4" w:rsidRPr="00E047B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1520"/>
                                    </w:tblGrid>
                                    <w:tr w:rsidR="00E047B4" w:rsidRPr="00E047B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" w:type="dxa"/>
                                            <w:shd w:val="clear" w:color="auto" w:fill="003B68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9"/>
                                          </w:tblGrid>
                                          <w:tr w:rsidR="00E047B4" w:rsidRPr="00E047B4">
                                            <w:tc>
                                              <w:tcPr>
                                                <w:tcW w:w="375" w:type="dxa"/>
                                                <w:shd w:val="clear" w:color="auto" w:fill="003B68"/>
                                                <w:vAlign w:val="center"/>
                                                <w:hideMark/>
                                              </w:tcPr>
                                              <w:p w:rsidR="00E047B4" w:rsidRPr="00E047B4" w:rsidRDefault="00E047B4" w:rsidP="00E047B4">
                                                <w:pPr>
                                                  <w:rPr>
                                                    <w:rFonts w:ascii="Arial" w:eastAsia="Times New Roman" w:hAnsi="Arial" w:cs="Times New Roman"/>
                                                  </w:rPr>
                                                </w:pPr>
                                                <w:r w:rsidRPr="00E047B4">
                                                  <w:rPr>
                                                    <w:rFonts w:ascii="Arial" w:eastAsia="Times New Roman" w:hAnsi="Arial" w:cs="Times New Roman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16865" cy="316865"/>
                                                      <wp:effectExtent l="0" t="0" r="0" b="0"/>
                                                      <wp:docPr id="2" name="Picture 2" descr="https://ecp.yusercontent.com/mail?url=https%3A%2F%2Fstatic.mailjet.com%2Fico-social%2Ffacebook.png&amp;t=1753866487&amp;ymreqid=20442a49-1392-8145-1c8b-3f0002014400&amp;sig=78H2ninY7B9ZBBf6rmH07g--~D">
                                                        <a:hlinkClick xmlns:a="http://schemas.openxmlformats.org/drawingml/2006/main" r:id="rId1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6203404937_x0000_i1027" descr="https://ecp.yusercontent.com/mail?url=https%3A%2F%2Fstatic.mailjet.com%2Fico-social%2Ffacebook.png&amp;t=1753866487&amp;ymreqid=20442a49-1392-8145-1c8b-3f0002014400&amp;sig=78H2ninY7B9ZBBf6rmH07g--~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6865" cy="3168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047B4" w:rsidRPr="00E047B4" w:rsidRDefault="00E047B4" w:rsidP="00E047B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047B4" w:rsidRPr="00E047B4" w:rsidRDefault="00E047B4" w:rsidP="00E047B4">
                                          <w:pPr>
                                            <w:rPr>
                                              <w:rFonts w:ascii="Arial" w:eastAsia="Times New Roman" w:hAnsi="Arial" w:cs="Times New Roman"/>
                                            </w:rPr>
                                          </w:pPr>
                                          <w:hyperlink r:id="rId12" w:tgtFrame="_blank" w:history="1">
                                            <w:proofErr w:type="spellStart"/>
                                            <w:r w:rsidRPr="00E047B4">
                                              <w:rPr>
                                                <w:rFonts w:ascii="Arial" w:eastAsia="Times New Roman" w:hAnsi="Arial" w:cs="Times New Roman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Rejoignez</w:t>
                                            </w:r>
                                            <w:proofErr w:type="spellEnd"/>
                                            <w:r w:rsidRPr="00E047B4">
                                              <w:rPr>
                                                <w:rFonts w:ascii="Arial" w:eastAsia="Times New Roman" w:hAnsi="Arial" w:cs="Times New Roman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-nous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047B4" w:rsidRPr="00E047B4" w:rsidRDefault="00E047B4" w:rsidP="00E047B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197"/>
                                    </w:tblGrid>
                                    <w:tr w:rsidR="00E047B4" w:rsidRPr="00E047B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" w:type="dxa"/>
                                            <w:shd w:val="clear" w:color="auto" w:fill="003B68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9"/>
                                          </w:tblGrid>
                                          <w:tr w:rsidR="00E047B4" w:rsidRPr="00E047B4">
                                            <w:tc>
                                              <w:tcPr>
                                                <w:tcW w:w="375" w:type="dxa"/>
                                                <w:shd w:val="clear" w:color="auto" w:fill="003B68"/>
                                                <w:vAlign w:val="center"/>
                                                <w:hideMark/>
                                              </w:tcPr>
                                              <w:p w:rsidR="00E047B4" w:rsidRPr="00E047B4" w:rsidRDefault="00E047B4" w:rsidP="00E047B4">
                                                <w:pPr>
                                                  <w:rPr>
                                                    <w:rFonts w:ascii="Arial" w:eastAsia="Times New Roman" w:hAnsi="Arial" w:cs="Times New Roman"/>
                                                  </w:rPr>
                                                </w:pPr>
                                                <w:r w:rsidRPr="00E047B4">
                                                  <w:rPr>
                                                    <w:rFonts w:ascii="Arial" w:eastAsia="Times New Roman" w:hAnsi="Arial" w:cs="Times New Roman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16865" cy="316865"/>
                                                      <wp:effectExtent l="0" t="0" r="0" b="0"/>
                                                      <wp:docPr id="1" name="Picture 1" descr="https://ecp.yusercontent.com/mail?url=https%3A%2F%2Fstatic.mailjet.com%2Fico-social%2Finstagram.png&amp;t=1753866487&amp;ymreqid=20442a49-1392-8145-1c8b-3f0002014400&amp;sig=r87c0Z9KL7hmVLCzD5lSMA--~D">
                                                        <a:hlinkClick xmlns:a="http://schemas.openxmlformats.org/drawingml/2006/main" r:id="rId1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6203404937_x0000_i1026" descr="https://ecp.yusercontent.com/mail?url=https%3A%2F%2Fstatic.mailjet.com%2Fico-social%2Finstagram.png&amp;t=1753866487&amp;ymreqid=20442a49-1392-8145-1c8b-3f0002014400&amp;sig=r87c0Z9KL7hmVLCzD5lSMA--~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6865" cy="3168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047B4" w:rsidRPr="00E047B4" w:rsidRDefault="00E047B4" w:rsidP="00E047B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047B4" w:rsidRPr="00E047B4" w:rsidRDefault="00E047B4" w:rsidP="00E047B4">
                                          <w:pPr>
                                            <w:rPr>
                                              <w:rFonts w:ascii="Arial" w:eastAsia="Times New Roman" w:hAnsi="Arial" w:cs="Times New Roman"/>
                                            </w:rPr>
                                          </w:pPr>
                                          <w:hyperlink r:id="rId15" w:tgtFrame="_blank" w:history="1">
                                            <w:r w:rsidRPr="00E047B4">
                                              <w:rPr>
                                                <w:rFonts w:ascii="Segoe UI Symbol" w:eastAsia="Times New Roman" w:hAnsi="Segoe UI Symbol" w:cs="Segoe UI Symbol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⠀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047B4" w:rsidRPr="00E047B4" w:rsidRDefault="00E047B4" w:rsidP="00E047B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047B4" w:rsidRPr="00E047B4" w:rsidRDefault="00E047B4" w:rsidP="00E047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E047B4" w:rsidRPr="00E047B4">
                          <w:tc>
                            <w:tcPr>
                              <w:tcW w:w="0" w:type="auto"/>
                              <w:shd w:val="clear" w:color="auto" w:fill="003B68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Pr="00E047B4" w:rsidRDefault="00E047B4" w:rsidP="00E047B4">
                              <w:pPr>
                                <w:spacing w:before="195" w:after="150"/>
                                <w:jc w:val="center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Comité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départemental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de Haute-Savoie | 101, rue de </w:t>
                              </w: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l'Egalité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- 74800 LA ROCHE SUR FORON</w:t>
                              </w:r>
                              <w:r w:rsidRPr="00E047B4">
                                <w:rPr>
                                  <w:rFonts w:ascii="Arial" w:eastAsia="Times New Roman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 xml:space="preserve">Nous </w:t>
                                </w:r>
                                <w:proofErr w:type="spellStart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>contacter</w:t>
                                </w:r>
                                <w:proofErr w:type="spellEnd"/>
                              </w:hyperlink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17" w:tgtFrame="_blank" w:history="1"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>Site Internet</w:t>
                                </w:r>
                              </w:hyperlink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 | 06 37 25 54 02</w:t>
                              </w:r>
                            </w:p>
                            <w:p w:rsidR="00E047B4" w:rsidRPr="00E047B4" w:rsidRDefault="00E047B4" w:rsidP="00E047B4">
                              <w:pPr>
                                <w:spacing w:before="195" w:after="150"/>
                                <w:jc w:val="center"/>
                                <w:rPr>
                                  <w:rFonts w:ascii="Arial" w:eastAsia="Times New Roman" w:hAnsi="Arial" w:cs="Times New Roman"/>
                                </w:rPr>
                              </w:pPr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Ligue Auvergne-Rhône-Alpes de tennis | 30 rue Lionel </w:t>
                              </w: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Terray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- 69500 BRON</w:t>
                              </w:r>
                            </w:p>
                          </w:tc>
                        </w:tr>
                        <w:tr w:rsidR="00E047B4" w:rsidRPr="00E047B4">
                          <w:tc>
                            <w:tcPr>
                              <w:tcW w:w="0" w:type="auto"/>
                              <w:shd w:val="clear" w:color="auto" w:fill="003B68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:rsidR="00E047B4" w:rsidRPr="00E047B4" w:rsidRDefault="00E047B4" w:rsidP="00E047B4">
                              <w:pPr>
                                <w:spacing w:before="100" w:beforeAutospacing="1" w:after="15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Cet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email a </w:t>
                              </w: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été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envoyé</w:t>
                              </w:r>
                              <w:proofErr w:type="spellEnd"/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à </w:t>
                              </w:r>
                              <w:hyperlink r:id="rId18" w:tgtFrame="_blank" w:history="1"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0000FF"/>
                                    <w:sz w:val="17"/>
                                    <w:szCs w:val="17"/>
                                    <w:u w:val="single"/>
                                  </w:rPr>
                                  <w:t>comite.haute-savoie@fft.fr</w:t>
                                </w:r>
                              </w:hyperlink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, </w:t>
                              </w:r>
                              <w:hyperlink r:id="rId19" w:tgtFrame="_blank" w:history="1"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cliquez </w:t>
                                </w:r>
                                <w:proofErr w:type="spellStart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ici</w:t>
                                </w:r>
                                <w:proofErr w:type="spellEnd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 pour </w:t>
                                </w:r>
                                <w:proofErr w:type="spellStart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vous</w:t>
                                </w:r>
                                <w:proofErr w:type="spellEnd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E047B4">
                                  <w:rPr>
                                    <w:rFonts w:ascii="Roboto" w:eastAsia="Times New Roman" w:hAnsi="Roboto" w:cs="Times New Roman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désabonner</w:t>
                                </w:r>
                                <w:proofErr w:type="spellEnd"/>
                              </w:hyperlink>
                              <w:r w:rsidRPr="00E047B4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E047B4" w:rsidRPr="00E047B4" w:rsidRDefault="00E047B4" w:rsidP="00E047B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E047B4" w:rsidRPr="00E047B4" w:rsidRDefault="00E047B4" w:rsidP="00E047B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047B4" w:rsidRPr="00E047B4" w:rsidRDefault="00E047B4" w:rsidP="00E04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47B4" w:rsidRPr="00E047B4" w:rsidRDefault="00E047B4" w:rsidP="00E047B4">
      <w:pPr>
        <w:shd w:val="clear" w:color="auto" w:fill="FFFFFF"/>
        <w:rPr>
          <w:rFonts w:ascii="Arial" w:eastAsia="Times New Roman" w:hAnsi="Arial" w:cs="Times New Roman"/>
          <w:color w:val="1D1D1D"/>
        </w:rPr>
      </w:pPr>
      <w:r w:rsidRPr="00E047B4">
        <w:rPr>
          <w:rFonts w:ascii="Arial" w:eastAsia="Times New Roman" w:hAnsi="Arial" w:cs="Times New Roman"/>
          <w:color w:val="1D1D1D"/>
        </w:rPr>
        <w:br/>
      </w:r>
      <w:hyperlink r:id="rId20" w:tgtFrame="_blank" w:history="1">
        <w:r w:rsidRPr="00E047B4">
          <w:rPr>
            <w:rFonts w:ascii="Arial" w:eastAsia="Times New Roman" w:hAnsi="Arial" w:cs="Times New Roman"/>
            <w:color w:val="0000FF"/>
            <w:u w:val="single"/>
          </w:rPr>
          <w:t>​</w:t>
        </w:r>
      </w:hyperlink>
    </w:p>
    <w:p w:rsidR="00E047B4" w:rsidRDefault="00E047B4"/>
    <w:sectPr w:rsidR="00E047B4" w:rsidSect="006728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4"/>
    <w:rsid w:val="00672800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EDA44"/>
  <w15:chartTrackingRefBased/>
  <w15:docId w15:val="{254911C6-C45F-EA4A-AEBA-68732FF9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47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47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yiv6203404937msonormal">
    <w:name w:val="yiv6203404937msonormal"/>
    <w:basedOn w:val="Normal"/>
    <w:rsid w:val="00E04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6203404937text-build-content">
    <w:name w:val="yiv6203404937text-build-content"/>
    <w:basedOn w:val="Normal"/>
    <w:rsid w:val="00E04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47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4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wl3.mjt.lu/lnk/BAAAB1b3TA0AAAAAAAAAA8rH5pYAAYKJNNEAAAAAAC27pwBoh0fuBI5o3lSaQruWHeyziIaH_gAKUqo/4/jLrFoRaC8oR0DPHKdqxONw/aHR0cHM6Ly9mb3Jtcy5nbGUvVWpFN1h1YWJnWk5nbmRvdjg" TargetMode="External"/><Relationship Id="rId13" Type="http://schemas.openxmlformats.org/officeDocument/2006/relationships/hyperlink" Target="https://sjwl3.mjt.lu/lnk/BAAAB1b3TA0AAAAAAAAAA8rH5pYAAYKJNNEAAAAAAC27pwBoh0fuBI5o3lSaQruWHeyziIaH_gAKUqo/8/iM_zCp_HqVvVpDuaL2ZnoQ/aHR0cHM6Ly93d3cuaW5zdGFncmFtLmNvbS9jb21pdGVfZGVwYXJ0ZW1lbnRhbF90ZW5uaXNfNzQ" TargetMode="External"/><Relationship Id="rId18" Type="http://schemas.openxmlformats.org/officeDocument/2006/relationships/hyperlink" Target="mailto:comite.haute-savoie@fft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jwl3.mjt.lu/lnk/BAAAB1b3TA0AAAAAAAAAA8rH5pYAAYKJNNEAAAAAAC27pwBoh0fuBI5o3lSaQruWHeyziIaH_gAKUqo/3/tOBZ-I4dkW72JdjWQbkkBA/aHR0cHM6Ly9mb3Jtcy5nbGUvVWpFN1h1YWJnWk5nbmRvdjg" TargetMode="External"/><Relationship Id="rId12" Type="http://schemas.openxmlformats.org/officeDocument/2006/relationships/hyperlink" Target="https://sjwl3.mjt.lu/lnk/BAAAB1b3TA0AAAAAAAAAA8rH5pYAAYKJNNEAAAAAAC27pwBoh0fuBI5o3lSaQruWHeyziIaH_gAKUqo/7/Efqz0IqLx8BvTEfUnw7-Jw/aHR0cHM6Ly93d3cuZmFjZWJvb2suY29tL2NvbWl0ZWhhdXRlc2F2b2llZGV0ZW5uaXM" TargetMode="External"/><Relationship Id="rId17" Type="http://schemas.openxmlformats.org/officeDocument/2006/relationships/hyperlink" Target="https://sjwl3.mjt.lu/lnk/BAAAB1b3TA0AAAAAAAAAA8rH5pYAAYKJNNEAAAAAAC27pwBoh0fuBI5o3lSaQruWHeyziIaH_gAKUqo/10/sGq7NU8_w8lGKfX2TrZaUA/aHR0cHM6Ly9jb21pdGUuZmZ0LmZyL2hhdXRlLXNhdm9pZS9jZHQ3NF9hL2Ntcy9pbmRleF9wdWJsaWMucGhwP3VzX2FjdGlvbj1zaG93X25vdGVfc2l0ZSZsb2dpbl9vZmY9MSZ1aV9pZF9zaXRlPT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mite.haute-savoie@fft.fr" TargetMode="External"/><Relationship Id="rId20" Type="http://schemas.openxmlformats.org/officeDocument/2006/relationships/hyperlink" Target="https://sjwl3.mjt.lu/lnk/BAAAB1b3TA0AAAAAAAAAA8rH5pYAAYKJNNEAAAAAAC27pwBoh0fuBI5o3lSaQruWHeyziIaH_gAKUqo/0/nZSU0il190ZyxRNlfyJbLQ/aHR0cHM6Ly9mb3Jtcy5nbGUvVWpFN1h1YWJnWk5nbmRvdjg?b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jwl3.mjt.lu/lnk/BAAAB1b3TA0AAAAAAAAAA8rH5pYAAYKJNNEAAAAAAC27pwBoh0fuBI5o3lSaQruWHeyziIaH_gAKUqo/2/rLUFjDJ_4vmbudEcizCqlQ/aHR0cHM6Ly9mb3Jtcy5nbGUvVWpFN1h1YWJnWk5nbmRvdj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jwl3.mjt.lu/lnk/BAAAB1b3TA0AAAAAAAAAA8rH5pYAAYKJNNEAAAAAAC27pwBoh0fuBI5o3lSaQruWHeyziIaH_gAKUqo/1/moD9mvTYabQZhMFhsX4S6A/aHR0cHM6Ly9mb3Jtcy5nbGUvVWpFN1h1YWJnWk5nbmRvdjg" TargetMode="External"/><Relationship Id="rId15" Type="http://schemas.openxmlformats.org/officeDocument/2006/relationships/hyperlink" Target="https://sjwl3.mjt.lu/lnk/BAAAB1b3TA0AAAAAAAAAA8rH5pYAAYKJNNEAAAAAAC27pwBoh0fuBI5o3lSaQruWHeyziIaH_gAKUqo/9/EdKgAuM6mfj-Ul-0PInUBA/aHR0cHM6Ly93d3cuaW5zdGFncmFtLmNvbS9jb21pdGVfZGVwYXJ0ZW1lbnRhbF90ZW5uaXNfNzQ" TargetMode="External"/><Relationship Id="rId10" Type="http://schemas.openxmlformats.org/officeDocument/2006/relationships/hyperlink" Target="https://sjwl3.mjt.lu/lnk/BAAAB1b3TA0AAAAAAAAAA8rH5pYAAYKJNNEAAAAAAC27pwBoh0fuBI5o3lSaQruWHeyziIaH_gAKUqo/6/rHsul0ovSxmfuhIMxkY8yA/aHR0cHM6Ly93d3cuZmFjZWJvb2suY29tL2NvbWl0ZWhhdXRlc2F2b2llZGV0ZW5uaXM" TargetMode="External"/><Relationship Id="rId19" Type="http://schemas.openxmlformats.org/officeDocument/2006/relationships/hyperlink" Target="https://sjwl3.mjt.lu/unsub2?hl=fr&amp;m=BAAAB1b3TA0AAAAAAAAAA8rH5pYAAYKJNNEAAAAAAC27pwBoh0fuBI5o3lSaQruWHeyziIaH_gAKUqo&amp;b=d6e2d64a&amp;e=4a0b1a99&amp;x=u0H-5JNVQqi8p1NCYBSoKySmdSxTNyiBjiLItzsIYn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jwl3.mjt.lu/lnk/BAAAB1b3TA0AAAAAAAAAA8rH5pYAAYKJNNEAAAAAAC27pwBoh0fuBI5o3lSaQruWHeyziIaH_gAKUqo/5/hke-nyBuG7ffjJTOjzIYMQ/aHR0cHM6Ly9mb3Jtcy5nbGUveU54N2NwaHFRaGF1MUxqczc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2025-07-30T16:03:00Z</dcterms:created>
  <dcterms:modified xsi:type="dcterms:W3CDTF">2025-07-30T16:11:00Z</dcterms:modified>
</cp:coreProperties>
</file>